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D7779F" w:rsidRDefault="00BB4170" w:rsidP="00D7779F">
      <w:pPr>
        <w:spacing w:after="0" w:line="240" w:lineRule="auto"/>
        <w:rPr>
          <w:rFonts w:ascii="Arial" w:hAnsi="Arial" w:cs="Arial"/>
          <w:b/>
        </w:rPr>
      </w:pPr>
      <w:r w:rsidRPr="00D7779F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779F">
        <w:rPr>
          <w:rFonts w:ascii="Arial" w:hAnsi="Arial" w:cs="Arial"/>
          <w:b/>
        </w:rPr>
        <w:t>ООО «МБ Трак сервис»</w:t>
      </w:r>
    </w:p>
    <w:p w:rsidR="00BB4170" w:rsidRPr="00D7779F" w:rsidRDefault="00BB4170" w:rsidP="00D7779F">
      <w:pPr>
        <w:spacing w:after="0" w:line="240" w:lineRule="auto"/>
        <w:rPr>
          <w:rFonts w:ascii="Arial" w:hAnsi="Arial" w:cs="Arial"/>
        </w:rPr>
      </w:pPr>
      <w:bookmarkStart w:id="0" w:name="_GoBack"/>
      <w:r w:rsidRPr="00D7779F">
        <w:rPr>
          <w:rFonts w:ascii="Arial" w:hAnsi="Arial" w:cs="Arial"/>
        </w:rPr>
        <w:t xml:space="preserve">Официальный дилер </w:t>
      </w:r>
      <w:r w:rsidRPr="00D7779F">
        <w:rPr>
          <w:rFonts w:ascii="Arial" w:hAnsi="Arial" w:cs="Arial"/>
          <w:lang w:val="en-US"/>
        </w:rPr>
        <w:t>SINOTRUK</w:t>
      </w:r>
      <w:r w:rsidRPr="00D7779F">
        <w:rPr>
          <w:rFonts w:ascii="Arial" w:hAnsi="Arial" w:cs="Arial"/>
        </w:rPr>
        <w:t xml:space="preserve"> </w:t>
      </w:r>
      <w:r w:rsidRPr="00D7779F">
        <w:rPr>
          <w:rFonts w:ascii="Arial" w:hAnsi="Arial" w:cs="Arial"/>
          <w:lang w:val="en-US"/>
        </w:rPr>
        <w:t>GROSS</w:t>
      </w:r>
    </w:p>
    <w:bookmarkEnd w:id="0"/>
    <w:p w:rsidR="00BB4170" w:rsidRPr="00D7779F" w:rsidRDefault="00BB4170" w:rsidP="00D7779F">
      <w:pPr>
        <w:spacing w:after="0" w:line="240" w:lineRule="auto"/>
        <w:rPr>
          <w:rFonts w:ascii="Arial" w:hAnsi="Arial" w:cs="Arial"/>
        </w:rPr>
      </w:pPr>
      <w:r w:rsidRPr="00D7779F">
        <w:rPr>
          <w:rFonts w:ascii="Arial" w:hAnsi="Arial" w:cs="Arial"/>
        </w:rPr>
        <w:t>390047, г. Рязань  ул. Куйбышевское шоссе 52</w:t>
      </w:r>
    </w:p>
    <w:p w:rsidR="00696391" w:rsidRPr="00D7779F" w:rsidRDefault="00BB4170" w:rsidP="00D7779F">
      <w:pPr>
        <w:spacing w:after="0" w:line="240" w:lineRule="auto"/>
        <w:rPr>
          <w:rFonts w:ascii="Arial" w:hAnsi="Arial" w:cs="Arial"/>
        </w:rPr>
      </w:pPr>
      <w:r w:rsidRPr="00D7779F">
        <w:rPr>
          <w:rFonts w:ascii="Arial" w:hAnsi="Arial" w:cs="Arial"/>
        </w:rPr>
        <w:t xml:space="preserve">Тел. +7 /4912/ 703-300 </w:t>
      </w:r>
    </w:p>
    <w:p w:rsidR="00FA6BE9" w:rsidRPr="00D7779F" w:rsidRDefault="00696391" w:rsidP="00D7779F">
      <w:pPr>
        <w:spacing w:after="0" w:line="240" w:lineRule="auto"/>
        <w:rPr>
          <w:rFonts w:ascii="Arial" w:hAnsi="Arial" w:cs="Arial"/>
        </w:rPr>
      </w:pPr>
      <w:r w:rsidRPr="00D7779F">
        <w:rPr>
          <w:rFonts w:ascii="Arial" w:hAnsi="Arial" w:cs="Arial"/>
        </w:rPr>
        <w:t xml:space="preserve">Сайт: </w:t>
      </w:r>
      <w:r w:rsidR="00BB4170" w:rsidRPr="00D7779F">
        <w:rPr>
          <w:rFonts w:ascii="Arial" w:hAnsi="Arial" w:cs="Arial"/>
          <w:lang w:val="en-US"/>
        </w:rPr>
        <w:t>www</w:t>
      </w:r>
      <w:r w:rsidR="00BB4170" w:rsidRPr="00D7779F">
        <w:rPr>
          <w:rFonts w:ascii="Arial" w:hAnsi="Arial" w:cs="Arial"/>
        </w:rPr>
        <w:t xml:space="preserve">. </w:t>
      </w:r>
      <w:proofErr w:type="spellStart"/>
      <w:r w:rsidR="00BB4170" w:rsidRPr="00D7779F">
        <w:rPr>
          <w:rFonts w:ascii="Arial" w:hAnsi="Arial" w:cs="Arial"/>
          <w:lang w:val="en-US"/>
        </w:rPr>
        <w:t>Sinotruk</w:t>
      </w:r>
      <w:proofErr w:type="spellEnd"/>
      <w:r w:rsidR="00BB4170" w:rsidRPr="00D7779F">
        <w:rPr>
          <w:rFonts w:ascii="Arial" w:hAnsi="Arial" w:cs="Arial"/>
        </w:rPr>
        <w:t>62.</w:t>
      </w:r>
      <w:proofErr w:type="spellStart"/>
      <w:r w:rsidR="00BB4170" w:rsidRPr="00D7779F">
        <w:rPr>
          <w:rFonts w:ascii="Arial" w:hAnsi="Arial" w:cs="Arial"/>
          <w:lang w:val="en-US"/>
        </w:rPr>
        <w:t>ru</w:t>
      </w:r>
      <w:proofErr w:type="spellEnd"/>
      <w:r w:rsidR="00BB4170" w:rsidRPr="00D7779F">
        <w:rPr>
          <w:rFonts w:ascii="Arial" w:hAnsi="Arial" w:cs="Arial"/>
        </w:rPr>
        <w:t xml:space="preserve">                     </w:t>
      </w:r>
    </w:p>
    <w:p w:rsidR="00BB4170" w:rsidRPr="00D7779F" w:rsidRDefault="00BB4170" w:rsidP="00D7779F">
      <w:pPr>
        <w:spacing w:after="0" w:line="240" w:lineRule="auto"/>
      </w:pPr>
      <w:r w:rsidRPr="00D7779F">
        <w:rPr>
          <w:rFonts w:ascii="Arial" w:hAnsi="Arial" w:cs="Arial"/>
        </w:rPr>
        <w:t xml:space="preserve"> </w:t>
      </w:r>
      <w:r w:rsidRPr="00D7779F">
        <w:rPr>
          <w:rFonts w:ascii="Arial" w:hAnsi="Arial" w:cs="Arial"/>
          <w:lang w:val="en-US"/>
        </w:rPr>
        <w:t>E</w:t>
      </w:r>
      <w:r w:rsidRPr="00D7779F">
        <w:rPr>
          <w:rFonts w:ascii="Arial" w:hAnsi="Arial" w:cs="Arial"/>
        </w:rPr>
        <w:t>-</w:t>
      </w:r>
      <w:r w:rsidRPr="00D7779F">
        <w:rPr>
          <w:rFonts w:ascii="Arial" w:hAnsi="Arial" w:cs="Arial"/>
          <w:lang w:val="en-US"/>
        </w:rPr>
        <w:t>mail</w:t>
      </w:r>
      <w:r w:rsidRPr="00D7779F">
        <w:rPr>
          <w:rFonts w:ascii="Arial" w:hAnsi="Arial" w:cs="Arial"/>
        </w:rPr>
        <w:t>:</w:t>
      </w:r>
      <w:r w:rsidRPr="00D7779F">
        <w:rPr>
          <w:rFonts w:ascii="Arial" w:hAnsi="Arial" w:cs="Arial"/>
          <w:lang w:val="en-US"/>
        </w:rPr>
        <w:t>mail</w:t>
      </w:r>
      <w:r w:rsidRPr="00D7779F">
        <w:rPr>
          <w:rFonts w:ascii="Arial" w:hAnsi="Arial" w:cs="Arial"/>
        </w:rPr>
        <w:t>@</w:t>
      </w:r>
      <w:proofErr w:type="spellStart"/>
      <w:r w:rsidRPr="00D7779F">
        <w:rPr>
          <w:rFonts w:ascii="Arial" w:hAnsi="Arial" w:cs="Arial"/>
          <w:lang w:val="en-US"/>
        </w:rPr>
        <w:t>sinotruk</w:t>
      </w:r>
      <w:proofErr w:type="spellEnd"/>
      <w:r w:rsidRPr="00D7779F">
        <w:rPr>
          <w:rFonts w:ascii="Arial" w:hAnsi="Arial" w:cs="Arial"/>
        </w:rPr>
        <w:t>62.</w:t>
      </w:r>
      <w:proofErr w:type="spellStart"/>
      <w:r w:rsidRPr="00D7779F">
        <w:rPr>
          <w:rFonts w:ascii="Arial" w:hAnsi="Arial" w:cs="Arial"/>
          <w:lang w:val="en-US"/>
        </w:rPr>
        <w:t>ru</w:t>
      </w:r>
      <w:proofErr w:type="spellEnd"/>
      <w:r w:rsidRPr="00D7779F">
        <w:br/>
        <w:t>____________________________________________________________________________________</w:t>
      </w:r>
      <w:r w:rsidR="00696391" w:rsidRPr="00D7779F">
        <w:t>___________</w:t>
      </w:r>
    </w:p>
    <w:p w:rsidR="005737BF" w:rsidRPr="005737BF" w:rsidRDefault="00D7779F" w:rsidP="005737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96391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5737BF" w:rsidRPr="005737B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</w:t>
      </w:r>
    </w:p>
    <w:p w:rsidR="005737BF" w:rsidRDefault="005737BF" w:rsidP="005737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37BF" w:rsidRDefault="005737BF" w:rsidP="005737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7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Самосвал </w:t>
      </w:r>
      <w:r w:rsidRPr="005737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HOWO </w:t>
      </w:r>
      <w:r w:rsidRPr="005737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HW</w:t>
      </w:r>
      <w:r w:rsidRPr="005737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76 </w:t>
      </w:r>
    </w:p>
    <w:p w:rsidR="005737BF" w:rsidRPr="005737BF" w:rsidRDefault="005737BF" w:rsidP="005737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37BF" w:rsidRPr="005737BF" w:rsidRDefault="005737BF" w:rsidP="00573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737BF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3600" cy="4343400"/>
            <wp:effectExtent l="0" t="0" r="0" b="0"/>
            <wp:docPr id="2" name="Рисунок 2" descr="C:\Users\MSK OPT 3\Desktop\Howo 35 к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Howo 35 ку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BF" w:rsidRPr="005737BF" w:rsidRDefault="005737BF" w:rsidP="00573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737BF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3600" cy="4133850"/>
            <wp:effectExtent l="0" t="0" r="0" b="0"/>
            <wp:docPr id="3" name="Рисунок 3" descr="C:\Users\MSK OPT 3\Desktop\Самосвалы\HW76\8х4\с нарощеными бортами\изображение_viber_2020-08-28_18-5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 OPT 3\Desktop\Самосвалы\HW76\8х4\с нарощеными бортами\изображение_viber_2020-08-28_18-50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91" w:rsidRPr="009247D2" w:rsidRDefault="00696391" w:rsidP="00696391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696391" w:rsidRPr="004F0CE3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7 2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696391" w:rsidRDefault="00696391" w:rsidP="00696391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96391" w:rsidRDefault="00696391" w:rsidP="00696391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696391" w:rsidRDefault="00696391" w:rsidP="00696391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696391" w:rsidRPr="00D60CC1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696391" w:rsidRPr="00D60CC1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696391" w:rsidRPr="00D60CC1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696391" w:rsidRPr="00D60CC1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69639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8251DC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30 - 45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69639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69639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69639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696391" w:rsidRDefault="00696391" w:rsidP="00696391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696391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696391" w:rsidRP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60CC1">
              <w:rPr>
                <w:rFonts w:ascii="Arial" w:eastAsia="Calibri" w:hAnsi="Arial" w:cs="Arial"/>
                <w:bCs/>
                <w:kern w:val="1"/>
                <w:lang w:eastAsia="ar-SA"/>
              </w:rPr>
              <w:t>HOWO HW76</w:t>
            </w:r>
            <w:r w:rsidRPr="00D60CC1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D078C1">
              <w:rPr>
                <w:rFonts w:ascii="Arial" w:hAnsi="Arial" w:cs="Arial"/>
                <w:bCs/>
              </w:rPr>
              <w:t>ZZ3407S3867E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база</w:t>
            </w:r>
            <w:proofErr w:type="spellEnd"/>
            <w:r w:rsidRPr="00D60CC1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696391" w:rsidRPr="00D60CC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1800+3800+1350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</w:rPr>
              <w:t>Колесная</w:t>
            </w:r>
            <w:proofErr w:type="spellEnd"/>
            <w:r w:rsidRPr="00D60CC1">
              <w:rPr>
                <w:rFonts w:ascii="Arial" w:hAnsi="Arial" w:cs="Arial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8</w:t>
            </w:r>
            <w:r w:rsidRPr="00D60CC1">
              <w:rPr>
                <w:rFonts w:ascii="Arial" w:eastAsia="Arial Unicode MS" w:hAnsi="Arial" w:cs="Arial"/>
                <w:kern w:val="1"/>
                <w:lang w:eastAsia="ar-SA"/>
              </w:rPr>
              <w:t>х4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7C2FB6">
              <w:rPr>
                <w:rFonts w:ascii="Times New Roman" w:hAnsi="Times New Roman"/>
                <w:sz w:val="24"/>
                <w:szCs w:val="24"/>
                <w:lang w:val="en-US"/>
              </w:rPr>
              <w:t>10755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lastRenderedPageBreak/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60CC1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C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18340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C82E1D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696391" w:rsidRPr="00C82E1D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40000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696391" w:rsidTr="000936DB">
        <w:trPr>
          <w:trHeight w:val="283"/>
        </w:trPr>
        <w:tc>
          <w:tcPr>
            <w:tcW w:w="5499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96391" w:rsidRPr="00D60CC1" w:rsidRDefault="00696391" w:rsidP="000936DB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D60CC1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696391" w:rsidRDefault="00696391" w:rsidP="00696391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696391" w:rsidTr="000936DB">
        <w:trPr>
          <w:trHeight w:val="851"/>
        </w:trPr>
        <w:tc>
          <w:tcPr>
            <w:tcW w:w="5507" w:type="dxa"/>
          </w:tcPr>
          <w:p w:rsidR="00696391" w:rsidRPr="00342B90" w:rsidRDefault="00696391" w:rsidP="000936DB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B39D6">
              <w:rPr>
                <w:rFonts w:ascii="Arial" w:hAnsi="Arial" w:cs="Arial"/>
                <w:color w:val="222222"/>
                <w:shd w:val="clear" w:color="auto" w:fill="FFFFFF"/>
              </w:rPr>
              <w:t>HW</w:t>
            </w:r>
            <w:r w:rsidRPr="002B39D6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76</w:t>
            </w:r>
          </w:p>
        </w:tc>
        <w:tc>
          <w:tcPr>
            <w:tcW w:w="5508" w:type="dxa"/>
          </w:tcPr>
          <w:p w:rsidR="00696391" w:rsidRPr="009F0B54" w:rsidRDefault="00696391" w:rsidP="000936DB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(лицензионная, 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</w:rPr>
              <w:t>VOLVO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FL</w:t>
            </w:r>
            <w:r w:rsidRPr="009F0B54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7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). Стандартная цельностальная кабина (высокая),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696391" w:rsidTr="000936DB">
        <w:trPr>
          <w:trHeight w:val="284"/>
        </w:trPr>
        <w:tc>
          <w:tcPr>
            <w:tcW w:w="5507" w:type="dxa"/>
          </w:tcPr>
          <w:p w:rsidR="00696391" w:rsidRPr="00342B90" w:rsidRDefault="00696391" w:rsidP="000936DB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696391" w:rsidRPr="00342B90" w:rsidRDefault="00696391" w:rsidP="000936DB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696391" w:rsidTr="000936DB">
        <w:trPr>
          <w:trHeight w:val="284"/>
        </w:trPr>
        <w:tc>
          <w:tcPr>
            <w:tcW w:w="5507" w:type="dxa"/>
          </w:tcPr>
          <w:p w:rsidR="00696391" w:rsidRPr="00342B90" w:rsidRDefault="00696391" w:rsidP="000936DB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696391" w:rsidRPr="00342B90" w:rsidRDefault="00696391" w:rsidP="000936DB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</w:tbl>
    <w:p w:rsidR="00696391" w:rsidRDefault="00696391" w:rsidP="00696391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96391" w:rsidTr="000936DB">
        <w:trPr>
          <w:trHeight w:val="567"/>
        </w:trPr>
        <w:tc>
          <w:tcPr>
            <w:tcW w:w="5511" w:type="dxa"/>
          </w:tcPr>
          <w:p w:rsidR="00696391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F0CE3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D10.38-50</w:t>
            </w:r>
          </w:p>
        </w:tc>
        <w:tc>
          <w:tcPr>
            <w:tcW w:w="5512" w:type="dxa"/>
          </w:tcPr>
          <w:p w:rsidR="00696391" w:rsidRPr="00294469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94469">
              <w:rPr>
                <w:rFonts w:ascii="Arial" w:hAnsi="Arial" w:cs="Arial"/>
                <w:lang w:val="ru-RU"/>
              </w:rPr>
              <w:t xml:space="preserve">Технологии  </w:t>
            </w:r>
            <w:r>
              <w:rPr>
                <w:rFonts w:ascii="Arial" w:hAnsi="Arial" w:cs="Arial"/>
                <w:lang w:val="ru-RU"/>
              </w:rPr>
              <w:t xml:space="preserve">австрийской компании </w:t>
            </w:r>
            <w:r w:rsidRPr="00294469">
              <w:rPr>
                <w:rFonts w:ascii="Arial" w:hAnsi="Arial" w:cs="Arial"/>
              </w:rPr>
              <w:t>STEYR</w:t>
            </w:r>
            <w:r w:rsidRPr="00294469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TRUCKS</w:t>
            </w:r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9726</w:t>
            </w:r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380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r w:rsidRPr="00C71F0C">
              <w:rPr>
                <w:rFonts w:ascii="Arial" w:eastAsia="Arial Unicode MS" w:hAnsi="Arial" w:cs="Arial"/>
                <w:kern w:val="1"/>
                <w:lang w:val="ru-RU" w:eastAsia="ar-SA"/>
              </w:rPr>
              <w:t>274</w:t>
            </w:r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л.</w:t>
            </w:r>
            <w:proofErr w:type="gramStart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с</w:t>
            </w:r>
            <w:proofErr w:type="spellEnd"/>
            <w:proofErr w:type="gramEnd"/>
            <w:r w:rsidRPr="00C71F0C">
              <w:rPr>
                <w:rFonts w:ascii="Arial" w:eastAsia="Arial Unicode MS" w:hAnsi="Arial" w:cs="Arial"/>
                <w:kern w:val="1"/>
                <w:lang w:eastAsia="ar-SA"/>
              </w:rPr>
              <w:t>.)</w:t>
            </w:r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696391" w:rsidRPr="00C71F0C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696391" w:rsidTr="000936DB">
        <w:trPr>
          <w:trHeight w:val="567"/>
        </w:trPr>
        <w:tc>
          <w:tcPr>
            <w:tcW w:w="5511" w:type="dxa"/>
          </w:tcPr>
          <w:p w:rsidR="00696391" w:rsidRPr="00DC7DC6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696391" w:rsidRPr="00F542F8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DC7DC6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96391" w:rsidRPr="00F97F1A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DC7DC6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696391" w:rsidRPr="00DC7DC6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DC7DC6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96391" w:rsidRPr="00F97F1A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696391" w:rsidTr="000936DB">
        <w:trPr>
          <w:trHeight w:val="284"/>
        </w:trPr>
        <w:tc>
          <w:tcPr>
            <w:tcW w:w="5511" w:type="dxa"/>
          </w:tcPr>
          <w:p w:rsidR="00696391" w:rsidRPr="00F97F1A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696391" w:rsidRPr="00F542F8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696391" w:rsidRDefault="00696391" w:rsidP="00696391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96391" w:rsidTr="000936DB">
        <w:trPr>
          <w:trHeight w:val="284"/>
        </w:trPr>
        <w:tc>
          <w:tcPr>
            <w:tcW w:w="5511" w:type="dxa"/>
          </w:tcPr>
          <w:p w:rsidR="00696391" w:rsidRPr="00DC7DC6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696391" w:rsidRPr="00C82E1D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Roboto" w:hAnsi="Roboto"/>
                <w:color w:val="1D1D1D"/>
              </w:rPr>
              <w:t>HW</w:t>
            </w:r>
            <w:r>
              <w:rPr>
                <w:rFonts w:ascii="Roboto" w:hAnsi="Roboto"/>
                <w:color w:val="1D1D1D"/>
                <w:lang w:val="ru-RU"/>
              </w:rPr>
              <w:t>19712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</w:t>
            </w:r>
            <w:r>
              <w:rPr>
                <w:rFonts w:ascii="Roboto" w:hAnsi="Roboto"/>
                <w:color w:val="1D1D1D"/>
              </w:rPr>
              <w:t> </w:t>
            </w:r>
            <w:r>
              <w:rPr>
                <w:rFonts w:ascii="Roboto" w:hAnsi="Roboto"/>
                <w:color w:val="1D1D1D"/>
                <w:lang w:val="ru-RU"/>
              </w:rPr>
              <w:t>12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–вперед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2-назад</w:t>
            </w:r>
            <w:r>
              <w:rPr>
                <w:rFonts w:ascii="Roboto" w:hAnsi="Roboto"/>
                <w:color w:val="1D1D1D"/>
              </w:rPr>
              <w:t> </w:t>
            </w:r>
            <w:r w:rsidRPr="00C82E1D">
              <w:rPr>
                <w:rFonts w:ascii="Roboto" w:hAnsi="Roboto"/>
                <w:color w:val="1D1D1D"/>
                <w:lang w:val="ru-RU"/>
              </w:rPr>
              <w:t xml:space="preserve"> (с делителем)</w:t>
            </w:r>
          </w:p>
        </w:tc>
      </w:tr>
      <w:tr w:rsidR="00696391" w:rsidTr="000936DB">
        <w:trPr>
          <w:trHeight w:val="567"/>
        </w:trPr>
        <w:tc>
          <w:tcPr>
            <w:tcW w:w="5511" w:type="dxa"/>
          </w:tcPr>
          <w:p w:rsidR="00696391" w:rsidRPr="00335289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696391" w:rsidRPr="00335289" w:rsidRDefault="00696391" w:rsidP="000936DB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696391" w:rsidRDefault="00696391" w:rsidP="0069639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96391" w:rsidTr="000936DB">
        <w:trPr>
          <w:trHeight w:val="1127"/>
        </w:trPr>
        <w:tc>
          <w:tcPr>
            <w:tcW w:w="5511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696391" w:rsidTr="000936DB">
        <w:trPr>
          <w:trHeight w:val="1127"/>
        </w:trPr>
        <w:tc>
          <w:tcPr>
            <w:tcW w:w="5511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696391" w:rsidRPr="00812F37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696391" w:rsidTr="000936DB">
        <w:trPr>
          <w:trHeight w:val="1134"/>
        </w:trPr>
        <w:tc>
          <w:tcPr>
            <w:tcW w:w="5491" w:type="dxa"/>
          </w:tcPr>
          <w:p w:rsid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696391" w:rsidRPr="00A25567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696391" w:rsidTr="000936DB">
        <w:trPr>
          <w:trHeight w:val="284"/>
        </w:trPr>
        <w:tc>
          <w:tcPr>
            <w:tcW w:w="5491" w:type="dxa"/>
          </w:tcPr>
          <w:p w:rsidR="00696391" w:rsidRPr="00480999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696391" w:rsidRPr="00480999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контур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рабочей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тормозной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системы</w:t>
            </w:r>
            <w:proofErr w:type="spellEnd"/>
          </w:p>
        </w:tc>
      </w:tr>
      <w:tr w:rsidR="00696391" w:rsidTr="000936DB">
        <w:trPr>
          <w:trHeight w:val="567"/>
        </w:trPr>
        <w:tc>
          <w:tcPr>
            <w:tcW w:w="5491" w:type="dxa"/>
          </w:tcPr>
          <w:p w:rsid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696391" w:rsidTr="000936DB">
        <w:trPr>
          <w:trHeight w:val="284"/>
        </w:trPr>
        <w:tc>
          <w:tcPr>
            <w:tcW w:w="5491" w:type="dxa"/>
          </w:tcPr>
          <w:p w:rsid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696391" w:rsidRPr="0059037F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96391" w:rsidTr="000936DB">
        <w:trPr>
          <w:trHeight w:val="284"/>
        </w:trPr>
        <w:tc>
          <w:tcPr>
            <w:tcW w:w="5506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696391" w:rsidTr="000936DB">
        <w:trPr>
          <w:trHeight w:val="284"/>
        </w:trPr>
        <w:tc>
          <w:tcPr>
            <w:tcW w:w="5506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696391" w:rsidTr="000936DB">
        <w:trPr>
          <w:trHeight w:val="284"/>
        </w:trPr>
        <w:tc>
          <w:tcPr>
            <w:tcW w:w="5506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696391" w:rsidTr="000936DB">
        <w:trPr>
          <w:trHeight w:val="567"/>
        </w:trPr>
        <w:tc>
          <w:tcPr>
            <w:tcW w:w="5506" w:type="dxa"/>
          </w:tcPr>
          <w:p w:rsidR="00696391" w:rsidRPr="00720B88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lastRenderedPageBreak/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696391" w:rsidRPr="00720B88" w:rsidRDefault="00696391" w:rsidP="000936DB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</w:tbl>
    <w:p w:rsidR="00696391" w:rsidRPr="0059037F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696391" w:rsidTr="000936DB">
        <w:trPr>
          <w:trHeight w:val="284"/>
        </w:trPr>
        <w:tc>
          <w:tcPr>
            <w:tcW w:w="5491" w:type="dxa"/>
          </w:tcPr>
          <w:p w:rsid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696391" w:rsidRPr="00480999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696391" w:rsidRPr="0059037F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696391" w:rsidTr="000936DB">
        <w:trPr>
          <w:trHeight w:val="284"/>
        </w:trPr>
        <w:tc>
          <w:tcPr>
            <w:tcW w:w="5498" w:type="dxa"/>
          </w:tcPr>
          <w:p w:rsidR="00696391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696391" w:rsidRPr="0059037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696391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696391" w:rsidTr="000936DB">
        <w:trPr>
          <w:trHeight w:val="851"/>
        </w:trPr>
        <w:tc>
          <w:tcPr>
            <w:tcW w:w="5491" w:type="dxa"/>
          </w:tcPr>
          <w:p w:rsidR="00696391" w:rsidRPr="00720B88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  <w:proofErr w:type="spellEnd"/>
          </w:p>
        </w:tc>
        <w:tc>
          <w:tcPr>
            <w:tcW w:w="5491" w:type="dxa"/>
          </w:tcPr>
          <w:p w:rsidR="00696391" w:rsidRPr="00720B88" w:rsidRDefault="00696391" w:rsidP="000936DB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Экспортный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вариант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усиленный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shd w:val="clear" w:color="auto" w:fill="FFFFFF"/>
                <w:lang w:eastAsia="ru-RU"/>
              </w:rPr>
              <w:t>карьерный</w:t>
            </w:r>
            <w:proofErr w:type="spellEnd"/>
          </w:p>
          <w:p w:rsidR="00696391" w:rsidRPr="00720B88" w:rsidRDefault="00696391" w:rsidP="000936DB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продольные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поперечные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усиления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(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ребра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жесткости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).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8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 xml:space="preserve"> 6 </w:t>
            </w:r>
            <w:proofErr w:type="spellStart"/>
            <w:r w:rsidRPr="00720B88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lang w:val="ru-RU" w:eastAsia="ru-RU"/>
              </w:rPr>
              <w:t xml:space="preserve">Сталь </w:t>
            </w:r>
            <w:r>
              <w:rPr>
                <w:rFonts w:ascii="Arial" w:eastAsia="Times New Roman" w:hAnsi="Arial" w:cs="Arial"/>
                <w:color w:val="222222"/>
                <w:lang w:val="en-US" w:eastAsia="ru-RU"/>
              </w:rPr>
              <w:t>Q</w:t>
            </w:r>
            <w:r w:rsidRPr="00F11BAF">
              <w:rPr>
                <w:rFonts w:ascii="Arial" w:eastAsia="Times New Roman" w:hAnsi="Arial" w:cs="Arial"/>
                <w:color w:val="222222"/>
                <w:lang w:val="ru-RU" w:eastAsia="ru-RU"/>
              </w:rPr>
              <w:t>345</w:t>
            </w:r>
          </w:p>
        </w:tc>
      </w:tr>
      <w:tr w:rsidR="00696391" w:rsidTr="000936DB">
        <w:trPr>
          <w:trHeight w:val="284"/>
        </w:trPr>
        <w:tc>
          <w:tcPr>
            <w:tcW w:w="5491" w:type="dxa"/>
          </w:tcPr>
          <w:p w:rsidR="00696391" w:rsidRPr="00720B88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696391" w:rsidRPr="00720B88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696391" w:rsidTr="000936DB">
        <w:trPr>
          <w:trHeight w:val="284"/>
        </w:trPr>
        <w:tc>
          <w:tcPr>
            <w:tcW w:w="5491" w:type="dxa"/>
          </w:tcPr>
          <w:p w:rsidR="00696391" w:rsidRPr="00720B88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696391" w:rsidRPr="00720B88" w:rsidRDefault="00EB747F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35</w:t>
            </w:r>
            <w:r w:rsidR="00696391"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="00696391" w:rsidRPr="00720B88">
              <w:rPr>
                <w:rFonts w:ascii="Arial" w:eastAsia="Arial Unicode MS" w:hAnsi="Arial" w:cs="Arial"/>
                <w:kern w:val="1"/>
                <w:lang w:eastAsia="ar-SA"/>
              </w:rPr>
              <w:t>куб</w:t>
            </w:r>
            <w:proofErr w:type="gramStart"/>
            <w:r w:rsidR="00696391"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spellEnd"/>
            <w:proofErr w:type="gramEnd"/>
          </w:p>
        </w:tc>
      </w:tr>
      <w:tr w:rsidR="00696391" w:rsidTr="000936DB">
        <w:trPr>
          <w:trHeight w:val="284"/>
        </w:trPr>
        <w:tc>
          <w:tcPr>
            <w:tcW w:w="5491" w:type="dxa"/>
          </w:tcPr>
          <w:p w:rsidR="00696391" w:rsidRPr="00720B88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696391" w:rsidRPr="00C71F0C" w:rsidRDefault="00177C4C" w:rsidP="000936DB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76</w:t>
            </w:r>
            <w:r w:rsidR="00696391">
              <w:rPr>
                <w:rFonts w:ascii="Arial" w:eastAsia="Arial Unicode MS" w:hAnsi="Arial" w:cs="Arial"/>
                <w:kern w:val="1"/>
                <w:lang w:val="ru-RU" w:eastAsia="ar-SA"/>
              </w:rPr>
              <w:t>00х2300х1500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х5</w:t>
            </w:r>
            <w:r w:rsidR="00696391">
              <w:rPr>
                <w:rFonts w:ascii="Arial" w:eastAsia="Arial Unicode MS" w:hAnsi="Arial" w:cs="Arial"/>
                <w:kern w:val="1"/>
                <w:lang w:val="ru-RU" w:eastAsia="ar-SA"/>
              </w:rPr>
              <w:t>00</w:t>
            </w:r>
          </w:p>
        </w:tc>
      </w:tr>
      <w:tr w:rsidR="00696391" w:rsidTr="000936DB">
        <w:trPr>
          <w:trHeight w:val="284"/>
        </w:trPr>
        <w:tc>
          <w:tcPr>
            <w:tcW w:w="5491" w:type="dxa"/>
          </w:tcPr>
          <w:p w:rsidR="00696391" w:rsidRPr="009F0B54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696391" w:rsidRPr="009F0B54" w:rsidRDefault="00696391" w:rsidP="000936DB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Серый</w:t>
            </w:r>
          </w:p>
        </w:tc>
      </w:tr>
    </w:tbl>
    <w:p w:rsidR="00696391" w:rsidRPr="00720B88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696391" w:rsidRDefault="00696391" w:rsidP="006963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96391" w:rsidTr="000936DB">
        <w:trPr>
          <w:trHeight w:val="294"/>
        </w:trPr>
        <w:tc>
          <w:tcPr>
            <w:tcW w:w="5506" w:type="dxa"/>
          </w:tcPr>
          <w:p w:rsidR="00696391" w:rsidRPr="00F542F8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96391" w:rsidRPr="00020C63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020C63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020C63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6D03DA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F542F8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96391" w:rsidRPr="00020C63" w:rsidRDefault="00696391" w:rsidP="000936DB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020C63" w:rsidRDefault="00696391" w:rsidP="000936DB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177C4C" w:rsidTr="000936DB">
        <w:trPr>
          <w:trHeight w:val="294"/>
        </w:trPr>
        <w:tc>
          <w:tcPr>
            <w:tcW w:w="5506" w:type="dxa"/>
          </w:tcPr>
          <w:p w:rsidR="00177C4C" w:rsidRPr="005576BF" w:rsidRDefault="00177C4C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177C4C" w:rsidRPr="00020C63" w:rsidRDefault="00177C4C" w:rsidP="000936DB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6D03DA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6D03DA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696391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6D03DA" w:rsidRDefault="00696391" w:rsidP="000936DB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696391" w:rsidRPr="00D7779F" w:rsidTr="000936DB">
        <w:trPr>
          <w:trHeight w:val="294"/>
        </w:trPr>
        <w:tc>
          <w:tcPr>
            <w:tcW w:w="5506" w:type="dxa"/>
          </w:tcPr>
          <w:p w:rsidR="00696391" w:rsidRPr="005576BF" w:rsidRDefault="00696391" w:rsidP="000936DB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96391" w:rsidRPr="00325CD3" w:rsidRDefault="00696391" w:rsidP="000936DB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696391" w:rsidRPr="00325CD3" w:rsidRDefault="00696391" w:rsidP="0069639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696391" w:rsidRPr="00C71F0C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696391" w:rsidRPr="00C71F0C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696391" w:rsidRPr="00C71F0C" w:rsidRDefault="00696391" w:rsidP="006963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696391" w:rsidRDefault="00696391" w:rsidP="00696391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69639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696391" w:rsidRPr="00D60CC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69639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696391" w:rsidRDefault="00696391" w:rsidP="0069639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696391" w:rsidRPr="00BB4170" w:rsidRDefault="00696391" w:rsidP="00696391">
      <w:pPr>
        <w:spacing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sectPr w:rsidR="00696391" w:rsidRPr="00BB4170" w:rsidSect="0069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1122ED"/>
    <w:rsid w:val="00177C4C"/>
    <w:rsid w:val="001D2058"/>
    <w:rsid w:val="002966C9"/>
    <w:rsid w:val="005737BF"/>
    <w:rsid w:val="005B57DD"/>
    <w:rsid w:val="00696391"/>
    <w:rsid w:val="006E213E"/>
    <w:rsid w:val="006F3D5F"/>
    <w:rsid w:val="00805021"/>
    <w:rsid w:val="008251DC"/>
    <w:rsid w:val="009624BD"/>
    <w:rsid w:val="00B35E9E"/>
    <w:rsid w:val="00BB4170"/>
    <w:rsid w:val="00CF6DE7"/>
    <w:rsid w:val="00D7779F"/>
    <w:rsid w:val="00EB747F"/>
    <w:rsid w:val="00F67A3C"/>
    <w:rsid w:val="00FA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6391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696391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18</cp:revision>
  <cp:lastPrinted>2022-07-29T09:31:00Z</cp:lastPrinted>
  <dcterms:created xsi:type="dcterms:W3CDTF">2022-07-19T13:53:00Z</dcterms:created>
  <dcterms:modified xsi:type="dcterms:W3CDTF">2022-08-04T07:11:00Z</dcterms:modified>
</cp:coreProperties>
</file>